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Times New Roman" w:hAnsi="Times New Roman" w:eastAsia="微软雅黑"/>
          <w:b/>
          <w:color w:val="1F1F1F"/>
          <w:sz w:val="32"/>
        </w:rPr>
        <w:t>苏州智讼通科技有限公司</w:t>
      </w:r>
    </w:p>
    <w:p>
      <w:pPr>
        <w:spacing w:before="120" w:after="40"/>
        <w:jc w:val="center"/>
      </w:pPr>
      <w:r>
        <w:rPr>
          <w:rFonts w:ascii="Times New Roman" w:hAnsi="Times New Roman" w:eastAsia="黑体"/>
          <w:b/>
          <w:color w:val="7B1E1E"/>
          <w:sz w:val="40"/>
        </w:rPr>
        <w:t>律所合作合同</w:t>
      </w:r>
    </w:p>
    <w:p>
      <w:pPr>
        <w:spacing w:before="80" w:after="240"/>
        <w:jc w:val="center"/>
        <w:pBdr>
          <w:bottom w:val="single" w:sz="6" w:space="1" w:color="D9D9D9"/>
        </w:pBdr>
      </w:pPr>
      <w:r>
        <w:rPr>
          <w:rFonts w:ascii="Times New Roman" w:hAnsi="Times New Roman" w:eastAsia="微软雅黑"/>
          <w:color w:val="666666"/>
          <w:sz w:val="20"/>
        </w:rPr>
        <w:t>版本号：20260401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65"/>
        <w:gridCol w:w="4365"/>
      </w:tblGrid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黑体"/>
                <w:b/>
                <w:color w:val="1F1F1F"/>
                <w:sz w:val="24"/>
              </w:rPr>
              <w:t>甲方：苏州智讼通科技有限公司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黑体"/>
                <w:b/>
                <w:color w:val="1F1F1F"/>
                <w:sz w:val="24"/>
              </w:rPr>
              <w:t>乙方：________________律师事务所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统一社会信用代码：________________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统一社会信用代码：________________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注册地址：________________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执业许可证号：________________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联系人：________________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注册地址：________________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联系电话：________________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负责人：________________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联系人：________________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联系电话：________________</w:t>
            </w:r>
          </w:p>
        </w:tc>
      </w:tr>
    </w:tbl>
    <w:p/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7B1E1E"/>
          <w:sz w:val="26"/>
        </w:rPr>
        <w:t>鉴于：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甲方系法律信息服务和技术平台运营方，具备内容展示、需求收集、线索分发、服务监督、投诉管理和运营支持能力。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乙方系依法设立并合法存续的律师事务所，具备相应法律服务资质及履约能力。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双方拟就乙方入驻甲方平台、承接平台咨询线索和开展长期合作事宜达成本合同。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根据《中华人民共和国民法典》及相关法律法规，双方经平等协商，订立本合同。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第一条 定义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平台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指由甲方独立运营或合作运营的网站、H5 页面、小程序、APP、第三方信息承接页面及与本合同合作相关的后台系统。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用户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指通过平台浏览法律信息、提交咨询需求、寻求法律服务或与乙方建立咨询联系的个人、法人或其他组织。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线索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指用户通过平台提交或形成的法律咨询需求信息，包括联系方式、地区信息、案件类型、咨询内容及其他相关资料。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第二条 合作内容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甲方同意乙方以合作律所身份入驻平台，并按照平台规则向乙方提供信息展示、需求承接、线索分发、系统管理、数据支持和基础运营协同。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乙方同意按照本合同、平台规则、律师执业规范及适用法律法规，承接甲方分发的用户线索，并向用户提供法律咨询及后续法律服务。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双方确认，甲方不直接向用户提供律师执业意义上的法律服务，乙方为实际法律服务提供方。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第三条 责任划分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甲方责任范围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（1）负责平台的日常运营、内容承接、需求收集、线索分发、合作管理、基础培训和投诉协调；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（2）在合理范围内保障平台系统稳定和数据安全；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（3）按照平台规则对乙方合作表现进行管理；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（4）甲方不承担乙方向用户提供具体法律服务所产生的执业责任、代理责任和案件结果责任。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乙方责任范围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（1）负责用户咨询后的专业判断、法律分析、方案建议、委托承接、收费协商、案件办理和履约管理；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（2）负责由具备合法执业资格的律师向用户提供服务；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（3）负责与用户之间形成的咨询、委托、代理、收费、履约及争议处理；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（4）负责因乙方执业行为、收费行为、人员行为、服务承诺、虚假宣传或信息处理不当所产生的法律责任。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双方共同确认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（1）甲方不是乙方的分支机构、代理人、合伙人或共同执业主体；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（2）甲方与乙方之间不构成劳动关系、合伙关系或共同承揽案件关系；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（3）甲方对线索数量、签约率、案件结果、收费水平或乙方收益不作任何保证。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第四条 百度系平台授权与服务支持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同意并授权甲方，在合作期间内，可基于本合同合作目的，在百度集团及其关联主体运营、管理或提供技术支持的平台，以及甲方运营或合作的智颂通、律肃审、妙答法律等相关产品、服务、页面或系统中，使用乙方依法提供的相关合作信息、展示信息、品牌信息和服务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前款所称平台或产品，包括但不限于北京百度网讯科技有限公司相关平台、手机百度、百度贴吧、百度联盟、百度 App，以及智颂通、律肃审、妙答法律等相关产品、服务、页面或系统。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同意甲方可在前述平台范围内，基于法律信息展示、咨询需求承接、内容投放、品牌展示、线索分发、服务撮合、专题页面搭建、活动推广及相关合作需要，使用乙方提供的律所名称、律师信息、业务领域、服务介绍、宣传素材、联系方式及其他经乙方确认可使用的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乙方承诺并同意，按照甲方的合作安排，为前述平台、产品、服务、页面或系统承接或导入的相关用户提供法律相关服务支持，包括但不限于法律咨询响应、服务沟通、委托承接、后续服务衔接和合理范围内的专业支持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5. 乙方应确保其授权甲方使用的名称、资料、素材和信息真实、合法、准确、完整，并保证不侵犯任何第三方合法权益；如因此引发争议或损失，由乙方承担相应责任。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6. 如乙方要求甲方停止在部分平台继续使用乙方相关信息，双方应另行书面确认停止范围、停止时间及存量页面处理方式；但法律法规另有规定或为履行既有合作、投诉处理、证据留存所必需的除外。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第五条 合作期限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本合同有效期为____年，自____年____月____日起至____年____月____日止。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合同期满前 30 日，双方可协商续签。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在合同期限内，任何一方如需提前终止合作，应至少提前 15 日书面通知对方；但本合同约定可即时解除的情形除外。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第六条 甲方权利与义务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甲方有权审核乙方提交的资质、联系人、律师名单、业务方向及相关合作资料。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甲方有权根据平台流量、用户需求、案件类别、地区布局、乙方响应率、满意度、投诉率等因素，自主决定乙方展示方式和线索分发安排。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甲方有权建立评分、抽查回访、投诉处理、整改、限流、暂停合作和清退等管理机制。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甲方应在合理范围内向乙方提供平台后台权限、规则说明、基础培训及必要技术支持。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第七条 乙方权利与义务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乙方应保证其为依法设立并有效存续的律师事务所，具备签订和履行本合同所需的全部资质和授权。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乙方应按甲方要求及时更新资质、联系人、律师名单、业务方向、办公地址、投诉电话等信息。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应严格遵守国家法律法规，遵守工业和信息化主管部门、网络信息主管部门关于互联网信息服务、网络安全、数据安全、个人信息保护、隐私保护及其他相关领域的法律、行政法规、部门规章、规范性文件和监管要求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乙方应在平台要求时间内及时响应线索，不得无故怠于联系、拒绝处理或长期不反馈。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5. 乙方不得对用户进行虚假宣传、误导宣传、夸大宣传，不得承诺案件结果或胜诉率，不得进行明显不合理收费。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6. 乙方不得以甲方或平台名义对外承诺、签约、收费或发布未经授权的宣传信息。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7. 乙方应配合甲方处理用户投诉、质量抽查、回访及整改事项。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第八条 费用与结算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双方可根据合作阶段另行约定平台服务费、线索服务费、技术服务费、推广服务费或其他合理费用。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具体收费项目、收费标准、计费口径、结算周期和开票安排，以双方另行签署的补充协议、订单、确认函或书面通知为准。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乙方逾期未支付应付费用的，甲方有权采取提醒、催告、限制功能、暂停分发或暂停合作等措施。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第九条 违约责任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任一方违反本合同约定，应承担违约责任，并赔偿守约方因此遭受的全部损失。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如乙方存在以下任一情形，甲方有权立即解除合同，并要求乙方承担违约责任：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（1）提交虚假资质、虚假证照、虚假执业信息；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（2）由无资质人员提供服务或冒用律师身份；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（3）严重误导用户、虚假宣传、承诺案件结果；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（4）泄露、买卖、转移、滥用用户信息或平台线索；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（5）存在违法违规执业行为或被监管部门查处；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（6）严重损害甲方品牌、声誉或平台秩序；</w:t>
      </w:r>
    </w:p>
    <w:p>
      <w:pPr>
        <w:spacing w:line="360" w:lineRule="auto" w:before="0" w:after="120"/>
        <w:ind w:left="454" w:hanging="170"/>
      </w:pPr>
      <w:r>
        <w:rPr>
          <w:rFonts w:ascii="Times New Roman" w:hAnsi="Times New Roman" w:eastAsia="宋体"/>
          <w:sz w:val="24"/>
        </w:rPr>
        <w:t>（7）其他足以导致合作基础丧失的情形。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如因乙方原因导致用户、监管机关或第三方向甲方主张权利、提起投诉、索赔、行政调查、行政处罚、诉讼或仲裁，乙方应负责解决并承担全部费用、责任和损失。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甲方因乙方违约而采取暂停合作、限流、终止合作等措施的，不视为甲方违约。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第十条 合同解除与终止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在合同有效期内，如乙方发生资质失效、重大投诉、严重违约、违法违规、拒不整改或其他不适合继续合作的情形，甲方有权单方解除本合同。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合同终止后，乙方应立即停止以甲方合作律所名义开展相关宣传，并停止使用甲方提供的平台权限、资料和数据信息。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合同终止不影响甲方依据本合同追究乙方违约责任，也不影响保密、信息保护和争议解决等条款继续有效。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第十一条 免责声明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甲方仅为法律信息服务和技术服务平台，不属于律师事务所，不直接出具法律意见，不直接承办案件，也不参与乙方与用户之间形成的具体法律服务关系。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用户与乙方之间的咨询、委托、代理、收费、履约及争议处理，由乙方依法独立负责。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因不可抗力、政策变化、第三方平台故障、网络中断、通信异常、黑客攻击等非甲方可控原因导致服务中断或数据异常的，甲方在法律允许范围内不承担责任，但将尽合理努力减轻损失。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第十二条 通知与送达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双方确认本合同首页载明的信息为有效送达地址。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通过专人递送、快递、短信、电子邮件、平台通知、微信或其他合理方式发送的通知，自发送成功、签收或应视为送达之日起生效。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第十三条 争议解决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本合同的订立、效力、解释、履行及争议解决均适用中华人民共和国法律。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因本合同引起或与本合同有关的争议，双方应先友好协商；协商不成的，任一方有权向甲方所在地有管辖权的人民法院提起诉讼。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第十四条 附则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本合同未尽事宜，由双方另行签署补充协议。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平台规则、通知公告、操作规范及补充协议均为本合同不可分割的组成部分，与本合同具有同等法律效力。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本合同自双方签字盖章之日起生效。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本合同一式贰份，双方各执壹份，具有同等法律效力。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65"/>
        <w:gridCol w:w="4365"/>
      </w:tblGrid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黑体"/>
                <w:b/>
                <w:sz w:val="24"/>
              </w:rPr>
              <w:t>甲方：苏州智讼通科技有限公司（盖章）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黑体"/>
                <w:b/>
                <w:sz w:val="24"/>
              </w:rPr>
              <w:t>乙方：________________律师事务所（盖章）</w:t>
            </w:r>
          </w:p>
        </w:tc>
      </w:tr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授权代表：________________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授权代表：________________</w:t>
            </w:r>
          </w:p>
        </w:tc>
      </w:tr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签署日期：____年____月____日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签署日期：____年____月____日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87" w:right="1474" w:bottom="147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 w:eastAsia="微软雅黑"/>
        <w:color w:val="7A7A7A"/>
        <w:sz w:val="18"/>
      </w:rPr>
      <w:t xml:space="preserve">第 </w:t>
    </w:r>
    <w:r>
      <w:rPr>
        <w:rFonts w:ascii="Times New Roman" w:hAnsi="Times New Roman" w:eastAsia="微软雅黑"/>
        <w:color w:val="7A7A7A"/>
        <w:sz w:val="18"/>
      </w:rPr>
      <w:fldChar w:fldCharType="begin"/>
      <w:instrText xml:space="preserve"> PAGE </w:instrText>
      <w:fldChar w:fldCharType="end"/>
    </w:r>
    <w:r>
      <w:rPr>
        <w:rFonts w:ascii="Times New Roman" w:hAnsi="Times New Roman" w:eastAsia="微软雅黑"/>
        <w:color w:val="7A7A7A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微软雅黑"/>
        <w:color w:val="7A7A7A"/>
        <w:sz w:val="18"/>
      </w:rPr>
      <w:t>律所合作合同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